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2"/>
        <w:tblW w:w="0" w:type="auto"/>
        <w:shd w:val="clear" w:fill="F2F2F2" w:themeFill="background1" w:themeFillShade="F2"/>
        <w:tblLook w:val="04A0"/>
      </w:tblPr>
      <w:tblGrid/>
      <w:tr>
        <w:tc>
          <w:tcPr>
            <w:tcW w:w="3823" w:type="dxa"/>
            <w:shd w:val="clear" w:color="auto" w:fill="F2F2F2" w:themeFill="background1" w:themeFillShade="F2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Adnotacje PUP: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</w:tc>
      </w:tr>
    </w:tbl>
    <w:p>
      <w:pPr>
        <w:rPr>
          <w:szCs w:val="22"/>
        </w:rPr>
      </w:pPr>
    </w:p>
    <w:p>
      <w:pPr>
        <w:spacing w:lineRule="auto" w:line="240" w:after="0" w:beforeAutospacing="0" w:afterAutospacing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>Powiatowy Urząd Pracy w Braniewie</w:t>
      </w:r>
    </w:p>
    <w:p>
      <w:pPr>
        <w:rPr>
          <w:szCs w:val="22"/>
        </w:rPr>
      </w:pPr>
    </w:p>
    <w:p>
      <w:pPr>
        <w:spacing w:lineRule="auto" w:line="240" w:after="0" w:beforeAutospacing="0" w:afterAutospacing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>WNIOSEK O SFINANSOWANIE SZKOLENIA</w:t>
      </w:r>
    </w:p>
    <w:tbl>
      <w:tblPr>
        <w:tblStyle w:val="T2"/>
        <w:tblW w:w="0" w:type="auto"/>
        <w:tblLook w:val="04A0"/>
      </w:tblPr>
      <w:tblGrid/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 xml:space="preserve">NAZWISKO I IMIĘ 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 xml:space="preserve">PESEL: </w:t>
            </w:r>
          </w:p>
          <w:p>
            <w:pPr>
              <w:rPr>
                <w:szCs w:val="22"/>
              </w:rPr>
            </w:pPr>
          </w:p>
          <w:p>
            <w:pPr>
              <w:rPr>
                <w:i w:val="1"/>
                <w:iCs w:val="1"/>
                <w:sz w:val="20"/>
              </w:rPr>
            </w:pPr>
            <w:r>
              <w:rPr>
                <w:i w:val="1"/>
                <w:iCs w:val="1"/>
                <w:sz w:val="20"/>
              </w:rPr>
              <w:t xml:space="preserve">(w przypadku braku Pesel,  seria i nr dok. potwierdzającego tożsamość.)</w:t>
            </w:r>
          </w:p>
        </w:tc>
      </w:tr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 xml:space="preserve">Adres zamieszkania: 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Adres do doręczeń: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Adres elektroniczny:</w:t>
            </w:r>
          </w:p>
          <w:p>
            <w:pPr>
              <w:rPr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Nr telefonu:</w:t>
            </w:r>
          </w:p>
          <w:p>
            <w:pPr>
              <w:rPr>
                <w:szCs w:val="22"/>
              </w:rPr>
            </w:pPr>
          </w:p>
        </w:tc>
      </w:tr>
      <w:tr>
        <w:tc>
          <w:tcPr>
            <w:tcW w:w="7650" w:type="dxa"/>
          </w:tcPr>
          <w:p>
            <w:pPr>
              <w:rPr>
                <w:sz w:val="21"/>
                <w:szCs w:val="21"/>
              </w:rPr>
            </w:pPr>
            <w:r>
              <w:t xml:space="preserve">W ostatnich 3 latach skorzystałem/-am z form pomocy, o których mowa w art. 99 ust. 1 pkt 1–4, 6 i 7 ustawy z dnia 20 marca 2025 r. o rynku pracy i służbach zatrudnienia tj. </w:t>
            </w:r>
            <w:r>
              <w:rPr>
                <w:i w:val="1"/>
                <w:iCs w:val="1"/>
                <w:sz w:val="18"/>
                <w:szCs w:val="18"/>
              </w:rPr>
              <w:t>[zaznaczyć właściwą odpowiedź tak/nie]</w:t>
            </w:r>
            <w:r>
              <w:t>:</w:t>
            </w:r>
          </w:p>
        </w:tc>
        <w:tc>
          <w:tcPr>
            <w:tcW w:w="709" w:type="dxa"/>
            <w:vAlign w:val="bottom"/>
          </w:tcPr>
          <w:p>
            <w:pPr>
              <w:jc w:val="center"/>
            </w:pPr>
            <w:r>
              <w:t>TAK</w:t>
            </w:r>
          </w:p>
        </w:tc>
        <w:tc>
          <w:tcPr>
            <w:tcW w:w="703" w:type="dxa"/>
            <w:vAlign w:val="bottom"/>
          </w:tcPr>
          <w:p>
            <w:pPr>
              <w:jc w:val="center"/>
            </w:pPr>
            <w:r>
              <w:t>Nie</w:t>
            </w:r>
          </w:p>
        </w:tc>
      </w:tr>
      <w:tr>
        <w:trPr>
          <w:trHeight w:hRule="atLeast" w:val="454"/>
        </w:trP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1) na wniosek bezrobotnego lub poszukującego pracy wybranego szkolenia:         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rPr>
          <w:trHeight w:hRule="atLeast" w:val="454"/>
        </w:trP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2) szkolenia zamawianego przez starostę:                     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rPr>
          <w:trHeight w:hRule="atLeast" w:val="454"/>
        </w:trP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3) kosztów potwierdzenia nabycia wiedzy i umiejętności lub kosztów uzyskania dokumentu potwierdzającego nabycie wiedzy i umiejętności:               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rPr>
          <w:trHeight w:hRule="atLeast" w:val="454"/>
        </w:trP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4) bonu na kształcenie ustawiczne:       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rPr>
          <w:trHeight w:hRule="atLeast" w:val="454"/>
        </w:trP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6) opłaty pobieranej za postępowanie nostryfikacyjne albo postępowanie, o którym mowa w art. 327 ust. 3 ustawy z dnia 20 lipca 2018 r. – Prawo o szkolnictwie wyższym i nauce:     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c>
          <w:tcPr>
            <w:tcW w:w="765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7)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</w:t>
            </w:r>
          </w:p>
        </w:tc>
        <w:tc>
          <w:tcPr>
            <w:tcW w:w="709" w:type="dxa"/>
          </w:tcPr>
          <w:p/>
        </w:tc>
        <w:tc>
          <w:tcPr>
            <w:tcW w:w="703" w:type="dxa"/>
          </w:tcPr>
          <w:p/>
        </w:tc>
      </w:tr>
      <w:tr>
        <w:tc>
          <w:tcPr>
            <w:tcW w:w="9062" w:type="dxa"/>
            <w:gridSpan w:val="3"/>
          </w:tcPr>
          <w:p>
            <w:r>
              <w:t xml:space="preserve">NAZWA SZKOLENIA: </w:t>
            </w:r>
          </w:p>
          <w:p/>
          <w:p/>
          <w:p/>
          <w:p/>
          <w:p/>
        </w:tc>
      </w:tr>
      <w:tr>
        <w:tc>
          <w:tcPr>
            <w:tcW w:w="9062" w:type="dxa"/>
            <w:gridSpan w:val="3"/>
          </w:tcPr>
          <w:p>
            <w:r>
              <w:t>UZASADNIENIE CELOWOŚCI SZKOLENIA: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Informacje o wybranym przez siebie szkoleniu, o ile wnioskodawca posiada informacje:</w:t>
            </w: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instytucji szkoleniowej: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instytucji szkoleniowej: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instytucji szkoleniowej: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 szkolenia: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Inne informacje o wskazanym szkoleniu, które osoba wnioskująca uzna za istotne: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i w:val="1"/>
                <w:iCs w:val="1"/>
                <w:sz w:val="18"/>
                <w:szCs w:val="18"/>
              </w:rPr>
              <w:t>np.: informacje na temat egzaminu zewnętrznego; sposobu realizacji szkolenia (hybrydowe, zdalnie, stacjonarne), inne istotne informacje]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c>
          <w:tcPr>
            <w:tcW w:w="9062" w:type="dxa"/>
            <w:gridSpan w:val="3"/>
          </w:tcPr>
          <w:p>
            <w:pPr>
              <w:rPr>
                <w:b w:val="1"/>
                <w:bCs w:val="1"/>
              </w:rPr>
            </w:pPr>
            <w:r>
              <w:rPr>
                <w:b w:val="1"/>
                <w:bCs w:val="1"/>
              </w:rPr>
              <w:t xml:space="preserve">DATA   I   PODPIS:      </w:t>
            </w:r>
          </w:p>
          <w:p>
            <w:pPr>
              <w:pStyle w:val="P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>
      <w:pPr>
        <w:pStyle w:val="P15"/>
        <w:rPr>
          <w:rFonts w:asciiTheme="minorHAnsi" w:hAnsiTheme="minorHAnsi" w:cstheme="minorHAnsi"/>
          <w:b w:val="1"/>
          <w:bCs w:val="1"/>
          <w:sz w:val="22"/>
          <w:szCs w:val="22"/>
        </w:rPr>
      </w:pPr>
      <w:r>
        <w:rPr>
          <w:rFonts w:asciiTheme="minorHAnsi" w:hAnsiTheme="minorHAnsi" w:cstheme="minorHAnsi"/>
          <w:b w:val="1"/>
          <w:bCs w:val="1"/>
          <w:sz w:val="22"/>
          <w:szCs w:val="22"/>
        </w:rPr>
        <w:t>Pouczenie</w:t>
      </w:r>
    </w:p>
    <w:p>
      <w:pPr>
        <w:pStyle w:val="P15"/>
        <w:rPr>
          <w:rFonts w:asciiTheme="minorHAnsi" w:hAnsiTheme="minorHAnsi" w:cstheme="minorHAnsi"/>
          <w:b w:val="1"/>
          <w:bCs w:val="1"/>
          <w:sz w:val="22"/>
          <w:szCs w:val="22"/>
        </w:rPr>
      </w:pPr>
      <w:r>
        <w:rPr>
          <w:rFonts w:asciiTheme="minorHAnsi" w:hAnsiTheme="minorHAnsi" w:cstheme="minorHAnsi"/>
          <w:b w:val="1"/>
          <w:bCs w:val="1"/>
          <w:sz w:val="22"/>
          <w:szCs w:val="22"/>
        </w:rPr>
        <w:t xml:space="preserve">Ustawa z dnia 20 marca 2025 r. o rynku pracy i służbach zatrudnienia </w:t>
      </w:r>
    </w:p>
    <w:p>
      <w:pPr>
        <w:pStyle w:val="P15"/>
        <w:rPr>
          <w:rFonts w:asciiTheme="minorHAnsi" w:hAnsiTheme="minorHAnsi" w:cstheme="minorHAnsi"/>
          <w:b w:val="1"/>
          <w:bCs w:val="1"/>
          <w:sz w:val="22"/>
          <w:szCs w:val="22"/>
        </w:rPr>
      </w:pPr>
      <w:r>
        <w:rPr>
          <w:rFonts w:asciiTheme="minorHAnsi" w:hAnsiTheme="minorHAnsi" w:cstheme="minorHAnsi"/>
          <w:b w:val="1"/>
          <w:bCs w:val="1"/>
          <w:sz w:val="22"/>
          <w:szCs w:val="22"/>
        </w:rPr>
        <w:t>Rozdział 3 Rozwój umiejętności i podnoszenie kwalifikacji: art. 99, art. 100, art. 106, art. 108, art. 109, art. 112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1"/>
          <w:bCs w:val="1"/>
          <w:sz w:val="22"/>
          <w:szCs w:val="22"/>
        </w:rPr>
        <w:t>Rozporządzenie Ministra Rodziny, Pracy I Polityki Społecznej z dnia 24 października 2025 r. w sprawie sposobu i trybu realizacji przez starostę pomocy bezrobotnym i poszukującym pracy w nabywaniu wiedzy, umiejętności lub kwalifikacji [Dz. U. 2025 poz. 1499]</w:t>
      </w:r>
    </w:p>
    <w:p>
      <w:pPr>
        <w:pStyle w:val="P15"/>
        <w:rPr>
          <w:rFonts w:asciiTheme="minorHAnsi" w:hAnsiTheme="minorHAnsi" w:cstheme="minorHAnsi"/>
          <w:b w:val="1"/>
          <w:bCs w:val="1"/>
          <w:sz w:val="22"/>
          <w:szCs w:val="22"/>
        </w:rPr>
      </w:pP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Starosta może udzielić bezrobotnemu lub poszukującemu pracy pomocy w nabywaniu wiedzy, umiejętności lub kwalifikacji, zwiększających szanse na podjęcie i utrzymanie zatrudnienia, innej pracy zarobkowej lub działalności gospodarczej, przez finansowanie z Funduszu Pracy na wniosek bezrobotnego lub poszukującego pracy wybranego przez niego szkolenia. 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 w przypadku: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pozytywnego rozpatrzenia wniosku o sfinansowanie szkolenia wydaje bezrobotnemu lub poszukującemu pracy skierowanie na szkolenie;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negatywnego rozpatrzenia wniosku o sfinansowanie szkolenia informuje bezrobotnego lub poszukującego pracy w formie pisemnej o przyczynach nieuwzględnienia tego wniosku.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Szkolenia, są realizowane w formie kursu, w tym kwalifikacyjnego kursu zawodowego. Szkolenie może trwać do 24 miesięcy.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Szkolenia, realizują podmioty wpisane do rejestru, o którym mowa w art. 6 ust. 1 pkt 8 ustawy z dnia 9 listopada 2000 r. o utworzeniu Polskiej Agencji Rozwoju Przedsiębiorczości, w zakresie świadczenia usług szkoleniowych. 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104, nie mogą przekroczyć 450 % przeciętnego wynagrodzenia na jedną osobę w okresie kolejnych 3 lat. Do limitu, nie wlicza się kwoty pożyczki, o której mowa w art. 111 ust. 1.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która z własnej winy nie podjęła lub nie ukończyła szkolenia, – zwraca na wyodrębniony rachunek bankowy PUP albo samorządu powiatu sfinansowane z Funduszu Pracy koszty należne instytucji szkoleniowej. Zwrot, dotyczy również kosztów: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badań lekarskich lub psychologicznych, o których mowa w art. 205 ust. 1,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ubezpieczenia, o którym mowa w art. 241,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 przejazdu, o którym mowa w art. 206 ust. 1,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 zakwaterowania, o którym mowa w art. 206 ust. 2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– o ile zostały poniesione.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Zwrotu środków nie stosuje się w przypadku gdy przyczyną niezrealizowania działań, było podjęcie zatrudnienia, innej pracy zarobkowej lub prowadzenie działalności gospodarczej, trwające co najmniej miesiąc.</w:t>
      </w:r>
    </w:p>
    <w:p>
      <w:pPr>
        <w:pStyle w:val="P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osoba w trakcie realizacji form pomocy, utraciła status bezrobotnego lub poszukującego pracy w przypadkach, o których mowa w art. 65 ust. 1 pkt 1, 4–7, 9 oraz w art. 68 ust. 1 pkt 4, starosta nie zawiesza finansowania tych form.</w:t>
      </w:r>
    </w:p>
    <w:p>
      <w:pPr>
        <w:pStyle w:val="P15"/>
        <w:rPr>
          <w:rFonts w:asciiTheme="minorHAnsi" w:hAnsiTheme="minorHAnsi" w:cstheme="minorHAnsi"/>
          <w:b w:val="1"/>
          <w:bCs w:val="1"/>
          <w:sz w:val="22"/>
          <w:szCs w:val="22"/>
        </w:rPr>
      </w:pPr>
    </w:p>
    <w:p>
      <w:pPr>
        <w:pStyle w:val="P15"/>
        <w:pBdr>
          <w:top w:val="single" w:sz="4" w:space="1" w:shadow="0" w:frame="0" w:color="auto"/>
          <w:left w:val="single" w:sz="4" w:space="4" w:shadow="0" w:frame="0" w:color="auto"/>
          <w:bottom w:val="single" w:sz="4" w:space="1" w:shadow="0" w:frame="0" w:color="auto"/>
          <w:right w:val="single" w:sz="4" w:space="4" w:shadow="0" w:frame="0" w:color="auto"/>
          <w:between w:val="none" w:sz="0" w:space="0" w:shadow="0" w:frame="0" w:color="auto"/>
        </w:pBdr>
        <w:rPr>
          <w:rFonts w:asciiTheme="minorHAnsi" w:hAnsiTheme="minorHAnsi" w:cstheme="minorHAnsi"/>
          <w:b w:val="1"/>
          <w:bCs w:val="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 zapoznanie się z pouczeniem -  podpis</w:t>
      </w:r>
      <w:r>
        <w:rPr>
          <w:rFonts w:asciiTheme="minorHAnsi" w:hAnsiTheme="minorHAnsi" w:cstheme="minorHAnsi"/>
          <w:b w:val="1"/>
          <w:bCs w:val="1"/>
          <w:sz w:val="22"/>
          <w:szCs w:val="22"/>
        </w:rPr>
        <w:t xml:space="preserve">:      </w:t>
      </w:r>
    </w:p>
    <w:p>
      <w:pPr>
        <w:pStyle w:val="P15"/>
        <w:pBdr>
          <w:top w:val="single" w:sz="4" w:space="1" w:shadow="0" w:frame="0" w:color="auto"/>
          <w:left w:val="single" w:sz="4" w:space="4" w:shadow="0" w:frame="0" w:color="auto"/>
          <w:bottom w:val="single" w:sz="4" w:space="1" w:shadow="0" w:frame="0" w:color="auto"/>
          <w:right w:val="single" w:sz="4" w:space="4" w:shadow="0" w:frame="0" w:color="auto"/>
          <w:between w:val="none" w:sz="0" w:space="0" w:shadow="0" w:frame="0" w:color="auto"/>
        </w:pBdr>
        <w:rPr>
          <w:b w:val="1"/>
          <w:bCs w:val="1"/>
          <w:sz w:val="20"/>
          <w:szCs w:val="20"/>
        </w:rPr>
      </w:pPr>
    </w:p>
    <w:p>
      <w:pPr>
        <w:pStyle w:val="P15"/>
        <w:pBdr>
          <w:top w:val="single" w:sz="4" w:space="1" w:shadow="0" w:frame="0" w:color="auto"/>
          <w:left w:val="single" w:sz="4" w:space="4" w:shadow="0" w:frame="0" w:color="auto"/>
          <w:bottom w:val="single" w:sz="4" w:space="1" w:shadow="0" w:frame="0" w:color="auto"/>
          <w:right w:val="single" w:sz="4" w:space="4" w:shadow="0" w:frame="0" w:color="auto"/>
          <w:between w:val="none" w:sz="0" w:space="0" w:shadow="0" w:frame="0" w:color="auto"/>
        </w:pBdr>
        <w:rPr>
          <w:b w:val="1"/>
          <w:bCs w:val="1"/>
          <w:sz w:val="20"/>
          <w:szCs w:val="20"/>
        </w:rPr>
      </w:pPr>
    </w:p>
    <w:p>
      <w:pPr>
        <w:pStyle w:val="P15"/>
        <w:pBdr>
          <w:top w:val="single" w:sz="4" w:space="1" w:shadow="0" w:frame="0" w:color="auto"/>
          <w:left w:val="single" w:sz="4" w:space="4" w:shadow="0" w:frame="0" w:color="auto"/>
          <w:bottom w:val="single" w:sz="4" w:space="1" w:shadow="0" w:frame="0" w:color="auto"/>
          <w:right w:val="single" w:sz="4" w:space="4" w:shadow="0" w:frame="0" w:color="auto"/>
          <w:between w:val="none" w:sz="0" w:space="0" w:shadow="0" w:frame="0" w:color="auto"/>
        </w:pBdr>
        <w:rPr>
          <w:b w:val="1"/>
          <w:bCs w:val="1"/>
          <w:sz w:val="20"/>
          <w:szCs w:val="20"/>
        </w:rPr>
      </w:pPr>
    </w:p>
    <w:p>
      <w:pPr>
        <w:pStyle w:val="P15"/>
        <w:rPr>
          <w:b w:val="1"/>
          <w:bCs w:val="1"/>
          <w:sz w:val="20"/>
          <w:szCs w:val="20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notePr/>
      <w:endnotePr/>
      <w:type w:val="nextPage"/>
      <w:pgSz w:w="11906" w:h="16838" w:code="0"/>
      <w:pgMar w:left="1417" w:right="1417" w:top="1417" w:bottom="1417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7"/>
    </w:pPr>
    <w:r>
      <w:rPr>
        <w:rFonts w:eastAsia="Calibri"/>
        <w:noProof w:val="1"/>
      </w:rPr>
      <w:drawing>
        <wp:inline xmlns:wp="http://schemas.openxmlformats.org/drawingml/2006/wordprocessingDrawing" distT="0" distB="0" distL="0" distR="0">
          <wp:extent cx="5760720" cy="914400"/>
          <wp:effectExtent l="0" t="0" r="0" b="0"/>
          <wp:docPr id="4845770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P17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7"/>
    </w:pPr>
  </w:p>
  <w:p>
    <w:pPr>
      <w:pStyle w:val="P17"/>
    </w:pPr>
  </w:p>
</w:hdr>
</file>

<file path=word/numbering.xml><?xml version="1.0" encoding="utf-8"?>
<w:numbering xmlns:w="http://schemas.openxmlformats.org/wordprocessingml/2006/main">
  <w:abstractNum w:abstractNumId="0">
    <w:nsid w:val="3CAF4AD1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6AEE0597"/>
    <w:multiLevelType w:val="hybridMultilevel"/>
    <w:lvl w:ilvl="0" w:tplc="E9DC3D96">
      <w:start w:val="1"/>
      <w:numFmt w:val="bullet"/>
      <w:suff w:val="tab"/>
      <w:lvlText w:val="▢"/>
      <w:lvlJc w:val="left"/>
      <w:pPr>
        <w:ind w:hanging="360" w:left="720"/>
      </w:pPr>
      <w:rPr>
        <w:rFonts w:ascii="Cambria Math" w:hAnsi="Cambria Math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Theme="minorHAnsi"/>
        <w:sz w:val="22"/>
        <w:szCs w:val="22"/>
        <w:kern w:val="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paragraph" w:styleId="P15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  <w:szCs w:val="24"/>
    </w:rPr>
  </w:style>
  <w:style w:type="paragraph" w:styleId="P16">
    <w:name w:val="Endnote Text"/>
    <w:basedOn w:val="P0"/>
    <w:link w:val="C18"/>
    <w:semiHidden/>
    <w:pPr>
      <w:spacing w:lineRule="auto" w:line="240" w:after="0" w:beforeAutospacing="0" w:afterAutospacing="0"/>
    </w:pPr>
    <w:rPr>
      <w:sz w:val="20"/>
    </w:rPr>
  </w:style>
  <w:style w:type="paragraph" w:styleId="P17">
    <w:name w:val="Header"/>
    <w:basedOn w:val="P0"/>
    <w:link w:val="C20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8">
    <w:name w:val="Footer"/>
    <w:basedOn w:val="P0"/>
    <w:link w:val="C21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9">
    <w:name w:val="Footnote Text"/>
    <w:link w:val="C23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główek 1 Znak"/>
    <w:basedOn w:val="C0"/>
    <w:link w:val="P1"/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character" w:styleId="C4">
    <w:name w:val="Nagłówek 2 Znak"/>
    <w:basedOn w:val="C0"/>
    <w:link w:val="P2"/>
    <w:semiHidden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styleId="C5">
    <w:name w:val="Nagłówek 3 Znak"/>
    <w:basedOn w:val="C0"/>
    <w:link w:val="P3"/>
    <w:semiHidden/>
    <w:rPr>
      <w:rFonts w:asciiTheme="minorHAnsi" w:hAnsiTheme="minorHAnsi" w:cstheme="majorBidi" w:eastAsiaTheme="majorEastAsia"/>
      <w:color w:val="2F5496" w:themeColor="accent1" w:themeShade="BF"/>
      <w:sz w:val="28"/>
      <w:szCs w:val="28"/>
    </w:rPr>
  </w:style>
  <w:style w:type="character" w:styleId="C6">
    <w:name w:val="Nagłówek 4 Znak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2F5496" w:themeColor="accent1" w:themeShade="BF"/>
    </w:rPr>
  </w:style>
  <w:style w:type="character" w:styleId="C7">
    <w:name w:val="Nagłówek 5 Znak"/>
    <w:basedOn w:val="C0"/>
    <w:link w:val="P5"/>
    <w:semiHidden/>
    <w:rPr>
      <w:rFonts w:asciiTheme="minorHAnsi" w:hAnsiTheme="minorHAnsi" w:cstheme="majorBidi" w:eastAsiaTheme="majorEastAsia"/>
      <w:color w:val="2F5496" w:themeColor="accent1" w:themeShade="BF"/>
    </w:rPr>
  </w:style>
  <w:style w:type="character" w:styleId="C8">
    <w:name w:val="Nagłówek 6 Znak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główek 7 Znak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główek 8 Znak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główek 9 Znak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Tytuł Znak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tytuł Znak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ytat Znak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Cytat intensywny Znak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character" w:styleId="C18">
    <w:name w:val="Tekst przypisu końcowego Znak"/>
    <w:basedOn w:val="C0"/>
    <w:link w:val="P16"/>
    <w:semiHidden/>
    <w:rPr>
      <w:sz w:val="20"/>
    </w:rPr>
  </w:style>
  <w:style w:type="character" w:styleId="C19">
    <w:name w:val="Endnote Reference"/>
    <w:basedOn w:val="C0"/>
    <w:semiHidden/>
    <w:rPr>
      <w:vertAlign w:val="superscript"/>
    </w:rPr>
  </w:style>
  <w:style w:type="character" w:styleId="C20">
    <w:name w:val="Nagłówek Znak"/>
    <w:basedOn w:val="C0"/>
    <w:link w:val="P17"/>
    <w:rPr/>
  </w:style>
  <w:style w:type="character" w:styleId="C21">
    <w:name w:val="Stopka Znak"/>
    <w:basedOn w:val="C0"/>
    <w:link w:val="P18"/>
    <w:rPr/>
  </w:style>
  <w:style w:type="character" w:styleId="C22">
    <w:name w:val="Footnote Reference"/>
    <w:semiHidden/>
    <w:rPr>
      <w:vertAlign w:val="superscript"/>
    </w:rPr>
  </w:style>
  <w:style w:type="character" w:styleId="C23">
    <w:name w:val="Footnote Text Char"/>
    <w:link w:val="P19"/>
    <w:semiHidden/>
    <w:rPr>
      <w:sz w:val="20"/>
      <w:szCs w:val="20"/>
    </w:rPr>
  </w:style>
  <w:style w:type="character" w:styleId="C24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API/21.2.7.0</Application>
  <AppVersion>21.2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epomianowska</dc:creator>
  <dcterms:created xsi:type="dcterms:W3CDTF">2026-03-19T08:22:00Z</dcterms:created>
  <cp:lastPrinted>2025-07-04T07:11:00Z</cp:lastPrinted>
  <dcterms:modified xsi:type="dcterms:W3CDTF">2026-03-19T08:28:25Z</dcterms:modified>
  <cp:revision>4</cp:revision>
</cp:coreProperties>
</file>